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85E">
      <w:pPr>
        <w:pStyle w:val="1"/>
        <w:divId w:val="1271552707"/>
      </w:pPr>
      <w:r>
        <w:rPr>
          <w:rFonts w:hint="eastAsia"/>
        </w:rPr>
        <w:t>奧古斯都</w:t>
      </w:r>
      <w:proofErr w:type="gramStart"/>
      <w:r>
        <w:rPr>
          <w:rFonts w:hint="eastAsia"/>
        </w:rPr>
        <w:t>﹙</w:t>
      </w:r>
      <w:proofErr w:type="gramEnd"/>
      <w:r>
        <w:rPr>
          <w:rFonts w:hint="eastAsia"/>
        </w:rPr>
        <w:t>前</w:t>
      </w:r>
      <w:r>
        <w:rPr>
          <w:rFonts w:hint="eastAsia"/>
        </w:rPr>
        <w:t>63-</w:t>
      </w:r>
      <w:r>
        <w:rPr>
          <w:rFonts w:hint="eastAsia"/>
        </w:rPr>
        <w:t>後</w:t>
      </w:r>
      <w:r>
        <w:rPr>
          <w:rFonts w:hint="eastAsia"/>
        </w:rPr>
        <w:t>14</w:t>
      </w:r>
      <w:proofErr w:type="gramStart"/>
      <w:r>
        <w:rPr>
          <w:rFonts w:hint="eastAsia"/>
        </w:rPr>
        <w:t>﹚</w:t>
      </w:r>
      <w:proofErr w:type="gramEnd"/>
      <w:r>
        <w:rPr>
          <w:rFonts w:hint="eastAsia"/>
        </w:rPr>
        <w:t>大理石頭像</w:t>
      </w:r>
    </w:p>
    <w:p w:rsidR="00000000" w:rsidRDefault="0074085E">
      <w:pPr>
        <w:pStyle w:val="3"/>
        <w:divId w:val="1686205818"/>
        <w:rPr>
          <w:rFonts w:hint="eastAsia"/>
        </w:rPr>
      </w:pPr>
      <w:r>
        <w:rPr>
          <w:rStyle w:val="mw-headline"/>
          <w:rFonts w:hint="eastAsia"/>
        </w:rPr>
        <w:t>介</w:t>
      </w:r>
      <w:r>
        <w:rPr>
          <w:rStyle w:val="mw-headline"/>
          <w:rFonts w:hint="eastAsia"/>
        </w:rPr>
        <w:t>紹</w:t>
      </w:r>
    </w:p>
    <w:p w:rsidR="0074085E" w:rsidRDefault="0074085E">
      <w:pPr>
        <w:pStyle w:val="Web"/>
        <w:divId w:val="1686205818"/>
        <w:rPr>
          <w:rFonts w:hint="eastAsia"/>
        </w:rPr>
      </w:pPr>
      <w:r>
        <w:rPr>
          <w:rFonts w:hint="eastAsia"/>
        </w:rPr>
        <w:t>奧古斯都原名蓋烏斯</w:t>
      </w:r>
      <w:proofErr w:type="gramStart"/>
      <w:r>
        <w:rPr>
          <w:rFonts w:hint="eastAsia"/>
        </w:rPr>
        <w:t>·</w:t>
      </w:r>
      <w:proofErr w:type="gramEnd"/>
      <w:r>
        <w:rPr>
          <w:rFonts w:hint="eastAsia"/>
        </w:rPr>
        <w:t>屋大維·圖里努，他是羅馬帝國的開國君主，統治羅馬長達</w:t>
      </w:r>
      <w:r>
        <w:rPr>
          <w:rFonts w:hint="eastAsia"/>
        </w:rPr>
        <w:t>43</w:t>
      </w:r>
      <w:r>
        <w:rPr>
          <w:rFonts w:hint="eastAsia"/>
        </w:rPr>
        <w:t>年。</w:t>
      </w:r>
    </w:p>
    <w:p w:rsidR="00000000" w:rsidRDefault="0074085E">
      <w:pPr>
        <w:pStyle w:val="Web"/>
        <w:divId w:val="1686205818"/>
        <w:rPr>
          <w:rFonts w:hint="eastAsia"/>
        </w:rPr>
      </w:pPr>
      <w:r>
        <w:rPr>
          <w:rFonts w:hint="eastAsia"/>
        </w:rPr>
        <w:t>圖片</w:t>
      </w:r>
      <w:r>
        <w:rPr>
          <w:rFonts w:hint="eastAsia"/>
        </w:rPr>
        <w:t xml:space="preserve"> </w:t>
      </w:r>
    </w:p>
    <w:p w:rsidR="00000000" w:rsidRDefault="0074085E">
      <w:pPr>
        <w:pStyle w:val="Web"/>
        <w:divId w:val="1686205818"/>
        <w:rPr>
          <w:rFonts w:hint="eastAsia"/>
        </w:rPr>
      </w:pPr>
      <w:r>
        <w:rPr>
          <w:rFonts w:hint="eastAsia"/>
        </w:rPr>
        <w:t>一般認為屋大維是最偉大的羅馬皇帝之</w:t>
      </w:r>
      <w:proofErr w:type="gramStart"/>
      <w:r>
        <w:rPr>
          <w:rFonts w:hint="eastAsia"/>
        </w:rPr>
        <w:t>一</w:t>
      </w:r>
      <w:proofErr w:type="gramEnd"/>
      <w:r>
        <w:rPr>
          <w:rFonts w:hint="eastAsia"/>
        </w:rPr>
        <w:t>。雖然他保持了羅馬共和的表面形式，但是卻作為一位獨裁者，統治</w:t>
      </w:r>
      <w:r>
        <w:rPr>
          <w:rFonts w:hint="eastAsia"/>
        </w:rPr>
        <w:t>羅馬長達四十年以上。他結束了一個世紀的內戰，使羅馬帝國進入了相當長一段和平、繁榮的輝煌時期。歷史學家通常以他的頭銜「奧古斯都」（「尊崇」的意思）來稱呼他，這個稱號是他在前</w:t>
      </w:r>
      <w:r>
        <w:rPr>
          <w:rFonts w:hint="eastAsia"/>
        </w:rPr>
        <w:t>27</w:t>
      </w:r>
      <w:r>
        <w:rPr>
          <w:rFonts w:hint="eastAsia"/>
        </w:rPr>
        <w:t>年的時候獲得的，那時他</w:t>
      </w:r>
      <w:r>
        <w:rPr>
          <w:rFonts w:hint="eastAsia"/>
        </w:rPr>
        <w:t>36</w:t>
      </w:r>
      <w:r>
        <w:rPr>
          <w:rFonts w:hint="eastAsia"/>
        </w:rPr>
        <w:t>歲。</w:t>
      </w:r>
      <w:r>
        <w:rPr>
          <w:rFonts w:hint="eastAsia"/>
        </w:rPr>
        <w:t xml:space="preserve"> </w:t>
      </w:r>
    </w:p>
    <w:p w:rsidR="00000000" w:rsidRDefault="0074085E">
      <w:pPr>
        <w:pStyle w:val="Web"/>
        <w:divId w:val="1686205818"/>
        <w:rPr>
          <w:rFonts w:hint="eastAsia"/>
        </w:rPr>
      </w:pPr>
      <w:r>
        <w:rPr>
          <w:rFonts w:hint="eastAsia"/>
        </w:rPr>
        <w:t>屋大維是凱撒大帝的</w:t>
      </w:r>
      <w:proofErr w:type="gramStart"/>
      <w:r>
        <w:rPr>
          <w:rFonts w:hint="eastAsia"/>
        </w:rPr>
        <w:t>甥孫和</w:t>
      </w:r>
      <w:proofErr w:type="gramEnd"/>
      <w:r>
        <w:rPr>
          <w:rFonts w:hint="eastAsia"/>
        </w:rPr>
        <w:t>養子，亦被正式指定為凱撒的繼承人。前</w:t>
      </w:r>
      <w:r>
        <w:rPr>
          <w:rFonts w:hint="eastAsia"/>
        </w:rPr>
        <w:t>43</w:t>
      </w:r>
      <w:r>
        <w:rPr>
          <w:rFonts w:hint="eastAsia"/>
        </w:rPr>
        <w:t>年，他與馬克</w:t>
      </w:r>
      <w:proofErr w:type="gramStart"/>
      <w:r>
        <w:rPr>
          <w:rFonts w:hint="eastAsia"/>
        </w:rPr>
        <w:t>·</w:t>
      </w:r>
      <w:proofErr w:type="gramEnd"/>
      <w:r>
        <w:rPr>
          <w:rFonts w:hint="eastAsia"/>
        </w:rPr>
        <w:t>安東尼、</w:t>
      </w:r>
      <w:proofErr w:type="gramStart"/>
      <w:r>
        <w:rPr>
          <w:rFonts w:hint="eastAsia"/>
        </w:rPr>
        <w:t>雷必達</w:t>
      </w:r>
      <w:proofErr w:type="gramEnd"/>
      <w:r>
        <w:rPr>
          <w:rFonts w:hint="eastAsia"/>
        </w:rPr>
        <w:t>結成後三頭同盟，打敗了刺殺凱撒的元老院共和派貴族。前</w:t>
      </w:r>
      <w:r>
        <w:rPr>
          <w:rFonts w:hint="eastAsia"/>
        </w:rPr>
        <w:t>36</w:t>
      </w:r>
      <w:r>
        <w:rPr>
          <w:rFonts w:hint="eastAsia"/>
        </w:rPr>
        <w:t>年他剝奪</w:t>
      </w:r>
      <w:proofErr w:type="gramStart"/>
      <w:r>
        <w:rPr>
          <w:rFonts w:hint="eastAsia"/>
        </w:rPr>
        <w:t>雷必達</w:t>
      </w:r>
      <w:proofErr w:type="gramEnd"/>
      <w:r>
        <w:rPr>
          <w:rFonts w:hint="eastAsia"/>
        </w:rPr>
        <w:t>的軍權，後在</w:t>
      </w:r>
      <w:proofErr w:type="gramStart"/>
      <w:r>
        <w:rPr>
          <w:rFonts w:hint="eastAsia"/>
        </w:rPr>
        <w:t>阿克圖海戰</w:t>
      </w:r>
      <w:proofErr w:type="gramEnd"/>
      <w:r>
        <w:rPr>
          <w:rFonts w:hint="eastAsia"/>
        </w:rPr>
        <w:t>打敗安東尼，消滅了古埃及的托勒密王朝，回羅馬後開始掌握一切國家大權。前</w:t>
      </w:r>
      <w:r>
        <w:rPr>
          <w:rFonts w:hint="eastAsia"/>
        </w:rPr>
        <w:t>30</w:t>
      </w:r>
      <w:r>
        <w:rPr>
          <w:rFonts w:hint="eastAsia"/>
        </w:rPr>
        <w:t>年，被確認為「終身</w:t>
      </w:r>
      <w:proofErr w:type="gramStart"/>
      <w:r>
        <w:rPr>
          <w:rFonts w:hint="eastAsia"/>
        </w:rPr>
        <w:t>保民官</w:t>
      </w:r>
      <w:proofErr w:type="gramEnd"/>
      <w:r>
        <w:rPr>
          <w:rFonts w:hint="eastAsia"/>
        </w:rPr>
        <w:t>」，前</w:t>
      </w:r>
      <w:r>
        <w:rPr>
          <w:rFonts w:hint="eastAsia"/>
        </w:rPr>
        <w:t>29</w:t>
      </w:r>
      <w:r>
        <w:rPr>
          <w:rFonts w:hint="eastAsia"/>
        </w:rPr>
        <w:t>年獲得「大元</w:t>
      </w:r>
      <w:r>
        <w:rPr>
          <w:rFonts w:hint="eastAsia"/>
        </w:rPr>
        <w:t>帥」（又譯作「皇帝」）稱號；前</w:t>
      </w:r>
      <w:r>
        <w:rPr>
          <w:rFonts w:hint="eastAsia"/>
        </w:rPr>
        <w:t>27</w:t>
      </w:r>
      <w:r>
        <w:rPr>
          <w:rFonts w:hint="eastAsia"/>
        </w:rPr>
        <w:t>年獲得「奧古斯都」（神聖、至尊的意思）稱號，建立起了專制的元首政治，開創了羅馬帝國。</w:t>
      </w:r>
      <w:r>
        <w:rPr>
          <w:rFonts w:hint="eastAsia"/>
        </w:rPr>
        <w:t xml:space="preserve"> </w:t>
      </w:r>
    </w:p>
    <w:p w:rsidR="00000000" w:rsidRDefault="0074085E">
      <w:pPr>
        <w:pStyle w:val="Web"/>
        <w:divId w:val="1686205818"/>
        <w:rPr>
          <w:rFonts w:hint="eastAsia"/>
        </w:rPr>
      </w:pPr>
      <w:r>
        <w:rPr>
          <w:rFonts w:hint="eastAsia"/>
        </w:rPr>
        <w:t>阿克提烏姆戰役之後，屋大維已經掃清了他前進的一切障礙。經過多年內戰以後，羅馬幾乎成了沒有法律的國家，但羅馬並不願接受一個專制君主。屋</w:t>
      </w:r>
      <w:proofErr w:type="gramStart"/>
      <w:r>
        <w:rPr>
          <w:rFonts w:hint="eastAsia"/>
        </w:rPr>
        <w:t>大維很聰明</w:t>
      </w:r>
      <w:proofErr w:type="gramEnd"/>
      <w:r>
        <w:rPr>
          <w:rFonts w:hint="eastAsia"/>
        </w:rPr>
        <w:t>。首先，他解散了軍隊，進行選舉。結果屋大維當選執政官，即羅馬共和國的最高行政官。前</w:t>
      </w:r>
      <w:r>
        <w:rPr>
          <w:rFonts w:hint="eastAsia"/>
        </w:rPr>
        <w:t>27</w:t>
      </w:r>
      <w:r>
        <w:rPr>
          <w:rFonts w:hint="eastAsia"/>
        </w:rPr>
        <w:t>年，他在官方場合表態要還政元老院並讓自己的勢力退出埃及。元老院不僅拒絕他的請求，還授予他對西班牙、高盧、敘利亞的統治權</w:t>
      </w:r>
      <w:proofErr w:type="gramStart"/>
      <w:r>
        <w:rPr>
          <w:rFonts w:hint="eastAsia"/>
        </w:rPr>
        <w:t>——</w:t>
      </w:r>
      <w:proofErr w:type="gramEnd"/>
      <w:r>
        <w:rPr>
          <w:rFonts w:hint="eastAsia"/>
        </w:rPr>
        <w:t>此為羅馬兵力最富的三省。隨即，元老院授予</w:t>
      </w:r>
      <w:r>
        <w:rPr>
          <w:rFonts w:hint="eastAsia"/>
        </w:rPr>
        <w:t>其「奧古斯都」（</w:t>
      </w:r>
      <w:r>
        <w:rPr>
          <w:rFonts w:hint="eastAsia"/>
        </w:rPr>
        <w:t>Augustus</w:t>
      </w:r>
      <w:r>
        <w:rPr>
          <w:rFonts w:hint="eastAsia"/>
        </w:rPr>
        <w:t>）號。這個稱號和古代宗教有關，</w:t>
      </w:r>
      <w:proofErr w:type="gramStart"/>
      <w:r>
        <w:rPr>
          <w:rFonts w:hint="eastAsia"/>
        </w:rPr>
        <w:t>據說語源為</w:t>
      </w:r>
      <w:proofErr w:type="gramEnd"/>
      <w:r>
        <w:rPr>
          <w:rFonts w:hint="eastAsia"/>
        </w:rPr>
        <w:t>「權威」（</w:t>
      </w:r>
      <w:proofErr w:type="spellStart"/>
      <w:r>
        <w:rPr>
          <w:rFonts w:hint="eastAsia"/>
        </w:rPr>
        <w:t>auctoritas</w:t>
      </w:r>
      <w:proofErr w:type="spellEnd"/>
      <w:r>
        <w:rPr>
          <w:rFonts w:hint="eastAsia"/>
        </w:rPr>
        <w:t>）並和</w:t>
      </w:r>
      <w:proofErr w:type="gramStart"/>
      <w:r>
        <w:rPr>
          <w:rFonts w:hint="eastAsia"/>
        </w:rPr>
        <w:t>視者</w:t>
      </w:r>
      <w:proofErr w:type="gramEnd"/>
      <w:r>
        <w:rPr>
          <w:rFonts w:hint="eastAsia"/>
        </w:rPr>
        <w:t>（</w:t>
      </w:r>
      <w:r>
        <w:rPr>
          <w:rFonts w:hint="eastAsia"/>
        </w:rPr>
        <w:t>augur</w:t>
      </w:r>
      <w:r>
        <w:rPr>
          <w:rFonts w:hint="eastAsia"/>
        </w:rPr>
        <w:t>）的靈</w:t>
      </w:r>
      <w:proofErr w:type="gramStart"/>
      <w:r>
        <w:rPr>
          <w:rFonts w:hint="eastAsia"/>
        </w:rPr>
        <w:t>踐</w:t>
      </w:r>
      <w:proofErr w:type="gramEnd"/>
      <w:r>
        <w:rPr>
          <w:rFonts w:hint="eastAsia"/>
        </w:rPr>
        <w:t>有關。在當時人的宗教信仰中，這個稱號意味著持有者擁有超越人的權威且任何章程皆不能對其地位性質定義。</w:t>
      </w:r>
      <w:proofErr w:type="gramStart"/>
      <w:r>
        <w:rPr>
          <w:rFonts w:hint="eastAsia"/>
        </w:rPr>
        <w:t>此外，</w:t>
      </w:r>
      <w:proofErr w:type="gramEnd"/>
      <w:r>
        <w:rPr>
          <w:rFonts w:hint="eastAsia"/>
        </w:rPr>
        <w:t>這種用來鞏固屋大維權力的特別辦法也讓其即將來臨</w:t>
      </w:r>
      <w:proofErr w:type="gramStart"/>
      <w:r>
        <w:rPr>
          <w:rFonts w:hint="eastAsia"/>
        </w:rPr>
        <w:t>的帝治與其</w:t>
      </w:r>
      <w:proofErr w:type="gramEnd"/>
      <w:r>
        <w:rPr>
          <w:rFonts w:hint="eastAsia"/>
        </w:rPr>
        <w:t>還是個人時的恐怖統治判然分開。</w:t>
      </w:r>
      <w:r>
        <w:rPr>
          <w:rFonts w:hint="eastAsia"/>
        </w:rPr>
        <w:t xml:space="preserve"> </w:t>
      </w:r>
    </w:p>
    <w:p w:rsidR="00000000" w:rsidRDefault="0074085E">
      <w:pPr>
        <w:pStyle w:val="Web"/>
        <w:divId w:val="1686205818"/>
        <w:rPr>
          <w:rFonts w:hint="eastAsia"/>
        </w:rPr>
      </w:pPr>
      <w:r>
        <w:rPr>
          <w:rFonts w:hint="eastAsia"/>
        </w:rPr>
        <w:t>這些事情在羅馬政治傳統中都是非常之舉。然而當時的元老院早已非昔日刺殺凱撒之貴族們的元老院。安東尼和屋大維清洗乾淨了元老院的異己勢力，並將其黨羽遍佈元老院。這些決議究竟有多大程度表達了元老</w:t>
      </w:r>
      <w:r>
        <w:rPr>
          <w:rFonts w:hint="eastAsia"/>
        </w:rPr>
        <w:t>院的意志，與背後有多少黑箱操作，我們已經不得而知了。</w:t>
      </w:r>
      <w:r>
        <w:rPr>
          <w:rFonts w:hint="eastAsia"/>
        </w:rPr>
        <w:t xml:space="preserve"> </w:t>
      </w:r>
    </w:p>
    <w:p w:rsidR="00000000" w:rsidRDefault="0074085E">
      <w:pPr>
        <w:pStyle w:val="Web"/>
        <w:divId w:val="1686205818"/>
        <w:rPr>
          <w:rFonts w:hint="eastAsia"/>
        </w:rPr>
      </w:pPr>
      <w:r>
        <w:rPr>
          <w:rFonts w:hint="eastAsia"/>
        </w:rPr>
        <w:t>奧古斯都深諳執政官並不保證他的絕對權力。前</w:t>
      </w:r>
      <w:r>
        <w:rPr>
          <w:rFonts w:hint="eastAsia"/>
        </w:rPr>
        <w:t>23</w:t>
      </w:r>
      <w:r>
        <w:rPr>
          <w:rFonts w:hint="eastAsia"/>
        </w:rPr>
        <w:t>年，他辭去執政官職，接受其他二職。一</w:t>
      </w:r>
      <w:proofErr w:type="gramStart"/>
      <w:r>
        <w:rPr>
          <w:rFonts w:hint="eastAsia"/>
        </w:rPr>
        <w:t>為保民官職</w:t>
      </w:r>
      <w:proofErr w:type="gramEnd"/>
      <w:r>
        <w:rPr>
          <w:rFonts w:hint="eastAsia"/>
        </w:rPr>
        <w:t>（</w:t>
      </w:r>
      <w:proofErr w:type="spellStart"/>
      <w:r>
        <w:rPr>
          <w:rFonts w:hint="eastAsia"/>
        </w:rPr>
        <w:t>tribunicia</w:t>
      </w:r>
      <w:proofErr w:type="spellEnd"/>
      <w:r>
        <w:rPr>
          <w:rFonts w:hint="eastAsia"/>
        </w:rPr>
        <w:t xml:space="preserve"> </w:t>
      </w:r>
      <w:proofErr w:type="spellStart"/>
      <w:r>
        <w:rPr>
          <w:rFonts w:hint="eastAsia"/>
        </w:rPr>
        <w:t>potestas</w:t>
      </w:r>
      <w:proofErr w:type="spellEnd"/>
      <w:r>
        <w:rPr>
          <w:rFonts w:hint="eastAsia"/>
        </w:rPr>
        <w:t>），於是其可以任意干預元老院並在元老院之前決斷。因爲保民官職通常處理民事，這進一步鞏固了他的權力。二為「統治大權」（</w:t>
      </w:r>
      <w:r>
        <w:rPr>
          <w:rFonts w:hint="eastAsia"/>
        </w:rPr>
        <w:t xml:space="preserve">imperium </w:t>
      </w:r>
      <w:proofErr w:type="spellStart"/>
      <w:r>
        <w:rPr>
          <w:rFonts w:hint="eastAsia"/>
        </w:rPr>
        <w:t>proconsulare</w:t>
      </w:r>
      <w:proofErr w:type="spellEnd"/>
      <w:r>
        <w:rPr>
          <w:rFonts w:hint="eastAsia"/>
        </w:rPr>
        <w:t xml:space="preserve"> </w:t>
      </w:r>
      <w:proofErr w:type="spellStart"/>
      <w:r>
        <w:rPr>
          <w:rFonts w:hint="eastAsia"/>
        </w:rPr>
        <w:t>maius</w:t>
      </w:r>
      <w:proofErr w:type="spellEnd"/>
      <w:r>
        <w:rPr>
          <w:rFonts w:hint="eastAsia"/>
        </w:rPr>
        <w:t xml:space="preserve"> </w:t>
      </w:r>
      <w:r>
        <w:rPr>
          <w:rFonts w:hint="eastAsia"/>
        </w:rPr>
        <w:t>高於諸總督的權力），這給予他</w:t>
      </w:r>
      <w:r>
        <w:rPr>
          <w:rFonts w:hint="eastAsia"/>
        </w:rPr>
        <w:lastRenderedPageBreak/>
        <w:t>在領土管理的任何事件上有最高權威。普遍認爲奧古斯都在前</w:t>
      </w:r>
      <w:r>
        <w:rPr>
          <w:rFonts w:hint="eastAsia"/>
        </w:rPr>
        <w:t>23</w:t>
      </w:r>
      <w:r>
        <w:rPr>
          <w:rFonts w:hint="eastAsia"/>
        </w:rPr>
        <w:t>年裡披上了黃袍。然而，他仍使用第一公民這個稱號。前</w:t>
      </w:r>
      <w:r>
        <w:rPr>
          <w:rFonts w:hint="eastAsia"/>
        </w:rPr>
        <w:t>12</w:t>
      </w:r>
      <w:r>
        <w:rPr>
          <w:rFonts w:hint="eastAsia"/>
        </w:rPr>
        <w:t>年，</w:t>
      </w:r>
      <w:proofErr w:type="gramStart"/>
      <w:r>
        <w:rPr>
          <w:rFonts w:hint="eastAsia"/>
        </w:rPr>
        <w:t>雷必達死</w:t>
      </w:r>
      <w:proofErr w:type="gramEnd"/>
      <w:r>
        <w:rPr>
          <w:rFonts w:hint="eastAsia"/>
        </w:rPr>
        <w:t>，奧古斯都加「大祭司」號。</w:t>
      </w:r>
      <w:r>
        <w:rPr>
          <w:rFonts w:hint="eastAsia"/>
        </w:rPr>
        <w:t xml:space="preserve"> </w:t>
      </w:r>
    </w:p>
    <w:p w:rsidR="00000000" w:rsidRDefault="0074085E">
      <w:pPr>
        <w:pStyle w:val="Web"/>
        <w:divId w:val="1686205818"/>
        <w:rPr>
          <w:rFonts w:hint="eastAsia"/>
        </w:rPr>
      </w:pPr>
    </w:p>
    <w:p w:rsidR="00000000" w:rsidRDefault="0074085E">
      <w:pPr>
        <w:pStyle w:val="Web"/>
        <w:divId w:val="1686205818"/>
        <w:rPr>
          <w:rFonts w:hint="eastAsia"/>
        </w:rPr>
      </w:pPr>
      <w:r>
        <w:rPr>
          <w:rFonts w:hint="eastAsia"/>
        </w:rPr>
        <w:t>奧古斯都死後，馬上被列入神的行列並被神格化。許多人認為奧古斯都是羅馬最偉大的皇帝，其政策無疑大大延長了羅馬的壽命，並開啟了羅馬的盛世。</w:t>
      </w:r>
      <w:r>
        <w:rPr>
          <w:rFonts w:hint="eastAsia"/>
        </w:rPr>
        <w:t xml:space="preserve"> </w:t>
      </w:r>
    </w:p>
    <w:p w:rsidR="00000000" w:rsidRDefault="0074085E">
      <w:pPr>
        <w:pStyle w:val="Web"/>
        <w:divId w:val="1686205818"/>
        <w:rPr>
          <w:rFonts w:hint="eastAsia"/>
        </w:rPr>
      </w:pPr>
      <w:r>
        <w:rPr>
          <w:rFonts w:hint="eastAsia"/>
        </w:rPr>
        <w:t>根據蘇埃托尼烏斯的描述，奧古斯都「</w:t>
      </w:r>
      <w:r>
        <w:rPr>
          <w:rFonts w:hint="eastAsia"/>
        </w:rPr>
        <w:t>...</w:t>
      </w:r>
      <w:r>
        <w:rPr>
          <w:rFonts w:hint="eastAsia"/>
        </w:rPr>
        <w:t>外表異常英俊，也極其優美，雖然他從不在意其個人的打扮。到目前為止他都是在匆忙間完成修好他的髮型及鬍子，例如同時有幾名理髮師替他修剪髮型及處理好他的鬍子的同時，他要不就在閱讀中，要不就是在書寫文件</w:t>
      </w:r>
      <w:r>
        <w:rPr>
          <w:rFonts w:hint="eastAsia"/>
        </w:rPr>
        <w:t>...</w:t>
      </w:r>
      <w:r>
        <w:rPr>
          <w:rFonts w:hint="eastAsia"/>
        </w:rPr>
        <w:t>他有明亮而閃爍的眼睛，而牙齒則分得很開、細小而缺乏打理</w:t>
      </w:r>
      <w:r>
        <w:rPr>
          <w:rFonts w:hint="eastAsia"/>
        </w:rPr>
        <w:t>。他的頭髮</w:t>
      </w:r>
      <w:proofErr w:type="gramStart"/>
      <w:r>
        <w:rPr>
          <w:rFonts w:hint="eastAsia"/>
        </w:rPr>
        <w:t>微曲並</w:t>
      </w:r>
      <w:proofErr w:type="gramEnd"/>
      <w:r>
        <w:rPr>
          <w:rFonts w:hint="eastAsia"/>
        </w:rPr>
        <w:t>呈金黃色，眉頭深鎖。他的耳朵大小適中，鼻子上部傾斜而下方輕微彎曲。膚色</w:t>
      </w:r>
      <w:proofErr w:type="gramStart"/>
      <w:r>
        <w:rPr>
          <w:rFonts w:hint="eastAsia"/>
        </w:rPr>
        <w:t>不深也不</w:t>
      </w:r>
      <w:proofErr w:type="gramEnd"/>
      <w:r>
        <w:rPr>
          <w:rFonts w:hint="eastAsia"/>
        </w:rPr>
        <w:t>淺。他個子不高，但因其</w:t>
      </w:r>
      <w:proofErr w:type="gramStart"/>
      <w:r>
        <w:rPr>
          <w:rFonts w:hint="eastAsia"/>
        </w:rPr>
        <w:t>體型均稱的</w:t>
      </w:r>
      <w:proofErr w:type="gramEnd"/>
      <w:r>
        <w:rPr>
          <w:rFonts w:hint="eastAsia"/>
        </w:rPr>
        <w:t>比例及對稱性，因此如不與高個子作直接比較，其身高的缺憾並不明顯。</w:t>
      </w:r>
      <w:r>
        <w:rPr>
          <w:rFonts w:hint="eastAsia"/>
        </w:rPr>
        <w:t xml:space="preserve"> </w:t>
      </w:r>
    </w:p>
    <w:p w:rsidR="00000000" w:rsidRDefault="0074085E">
      <w:pPr>
        <w:pStyle w:val="Web"/>
        <w:divId w:val="1686205818"/>
        <w:rPr>
          <w:rFonts w:hint="eastAsia"/>
        </w:rPr>
      </w:pPr>
      <w:r>
        <w:rPr>
          <w:rFonts w:hint="eastAsia"/>
          <w:noProof/>
          <w:color w:val="0000FF"/>
        </w:rPr>
        <w:t>圖片</w:t>
      </w:r>
    </w:p>
    <w:p w:rsidR="00000000" w:rsidRDefault="0074085E">
      <w:pPr>
        <w:numPr>
          <w:ilvl w:val="0"/>
          <w:numId w:val="1"/>
        </w:numPr>
        <w:spacing w:before="100" w:beforeAutospacing="1" w:after="100" w:afterAutospacing="1"/>
        <w:divId w:val="1686205818"/>
        <w:rPr>
          <w:rFonts w:hint="eastAsia"/>
        </w:rPr>
      </w:pPr>
      <w:r>
        <w:rPr>
          <w:rFonts w:hint="eastAsia"/>
        </w:rPr>
        <w:t>約於公元前</w:t>
      </w:r>
      <w:proofErr w:type="gramStart"/>
      <w:r>
        <w:rPr>
          <w:rFonts w:hint="eastAsia"/>
        </w:rPr>
        <w:t>30</w:t>
      </w:r>
      <w:r>
        <w:rPr>
          <w:rFonts w:hint="eastAsia"/>
        </w:rPr>
        <w:t>年鑄上</w:t>
      </w:r>
      <w:proofErr w:type="gramEnd"/>
      <w:r>
        <w:rPr>
          <w:rFonts w:hint="eastAsia"/>
        </w:rPr>
        <w:t>奧古斯都頭像的金幣</w:t>
      </w:r>
      <w:r>
        <w:rPr>
          <w:rFonts w:hint="eastAsia"/>
        </w:rPr>
        <w:t xml:space="preserve"> </w:t>
      </w:r>
    </w:p>
    <w:p w:rsidR="00000000" w:rsidRDefault="0074085E">
      <w:pPr>
        <w:pStyle w:val="3"/>
        <w:divId w:val="1686205818"/>
        <w:rPr>
          <w:rFonts w:hint="eastAsia"/>
        </w:rPr>
      </w:pPr>
      <w:r>
        <w:rPr>
          <w:rStyle w:val="mw-headline"/>
          <w:rFonts w:hint="eastAsia"/>
        </w:rPr>
        <w:t>經緯</w:t>
      </w:r>
      <w:r>
        <w:rPr>
          <w:rStyle w:val="mw-headline"/>
          <w:rFonts w:hint="eastAsia"/>
        </w:rPr>
        <w:t>度</w:t>
      </w:r>
    </w:p>
    <w:p w:rsidR="00000000" w:rsidRDefault="0074085E">
      <w:pPr>
        <w:pStyle w:val="Web"/>
        <w:divId w:val="1686205818"/>
        <w:rPr>
          <w:rFonts w:hint="eastAsia"/>
        </w:rPr>
      </w:pPr>
      <w:r>
        <w:rPr>
          <w:rFonts w:hint="eastAsia"/>
        </w:rPr>
        <w:t>41.899595</w:t>
      </w:r>
      <w:r>
        <w:rPr>
          <w:rFonts w:hint="eastAsia"/>
        </w:rPr>
        <w:t>，</w:t>
      </w:r>
      <w:r>
        <w:rPr>
          <w:rFonts w:hint="eastAsia"/>
        </w:rPr>
        <w:t xml:space="preserve">12.503039 </w:t>
      </w: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rsidP="0074085E">
      <w:pPr>
        <w:pStyle w:val="1"/>
        <w:divId w:val="1686205818"/>
      </w:pPr>
      <w:r>
        <w:rPr>
          <w:rFonts w:hint="eastAsia"/>
        </w:rPr>
        <w:lastRenderedPageBreak/>
        <w:t>中國青銅編鐘</w:t>
      </w:r>
    </w:p>
    <w:p w:rsidR="0074085E" w:rsidRDefault="0074085E" w:rsidP="0074085E">
      <w:pPr>
        <w:pStyle w:val="3"/>
        <w:divId w:val="1686205818"/>
        <w:rPr>
          <w:rFonts w:hint="eastAsia"/>
        </w:rPr>
      </w:pPr>
      <w:r>
        <w:rPr>
          <w:rStyle w:val="mw-headline"/>
          <w:rFonts w:hint="eastAsia"/>
        </w:rPr>
        <w:t>介紹</w:t>
      </w:r>
    </w:p>
    <w:p w:rsidR="0074085E" w:rsidRDefault="0074085E" w:rsidP="0074085E">
      <w:pPr>
        <w:pStyle w:val="Web"/>
        <w:divId w:val="1686205818"/>
        <w:rPr>
          <w:rFonts w:hint="eastAsia"/>
        </w:rPr>
      </w:pPr>
      <w:r>
        <w:rPr>
          <w:rFonts w:hint="eastAsia"/>
        </w:rPr>
        <w:t>青銅編鐘是中國古代的一種打擊樂器，用青銅鑄成，它由大小不同的扁圓鐘按照音調高低的次序排列起來，懸掛在一個巨大</w:t>
      </w:r>
      <w:proofErr w:type="gramStart"/>
      <w:r>
        <w:rPr>
          <w:rFonts w:hint="eastAsia"/>
        </w:rPr>
        <w:t>的鐘架上</w:t>
      </w:r>
      <w:proofErr w:type="gramEnd"/>
      <w:r>
        <w:rPr>
          <w:rFonts w:hint="eastAsia"/>
        </w:rPr>
        <w:t>，</w:t>
      </w:r>
      <w:proofErr w:type="gramStart"/>
      <w:r>
        <w:rPr>
          <w:rFonts w:hint="eastAsia"/>
        </w:rPr>
        <w:t>用丁字形</w:t>
      </w:r>
      <w:proofErr w:type="gramEnd"/>
      <w:r>
        <w:rPr>
          <w:rFonts w:hint="eastAsia"/>
        </w:rPr>
        <w:t>的</w:t>
      </w:r>
      <w:proofErr w:type="gramStart"/>
      <w:r>
        <w:rPr>
          <w:rFonts w:hint="eastAsia"/>
        </w:rPr>
        <w:t>木錘和長</w:t>
      </w:r>
      <w:proofErr w:type="gramEnd"/>
      <w:r>
        <w:rPr>
          <w:rFonts w:hint="eastAsia"/>
        </w:rPr>
        <w:t>形的棒分別敲打銅鐘，能發出不同的樂音，因為每</w:t>
      </w:r>
      <w:proofErr w:type="gramStart"/>
      <w:r>
        <w:rPr>
          <w:rFonts w:hint="eastAsia"/>
        </w:rPr>
        <w:t>個</w:t>
      </w:r>
      <w:proofErr w:type="gramEnd"/>
      <w:r>
        <w:rPr>
          <w:rFonts w:hint="eastAsia"/>
        </w:rPr>
        <w:t>鐘的音調不同，</w:t>
      </w:r>
      <w:proofErr w:type="gramStart"/>
      <w:r>
        <w:rPr>
          <w:rFonts w:hint="eastAsia"/>
        </w:rPr>
        <w:t>按照音譜</w:t>
      </w:r>
      <w:proofErr w:type="gramEnd"/>
      <w:r>
        <w:rPr>
          <w:rFonts w:hint="eastAsia"/>
        </w:rPr>
        <w:t>敲打，可以演奏出美妙的樂曲。</w:t>
      </w:r>
      <w:proofErr w:type="gramStart"/>
      <w:r>
        <w:rPr>
          <w:rFonts w:hint="eastAsia"/>
        </w:rPr>
        <w:t>引在木</w:t>
      </w:r>
      <w:proofErr w:type="gramEnd"/>
      <w:r>
        <w:rPr>
          <w:rFonts w:hint="eastAsia"/>
        </w:rPr>
        <w:t xml:space="preserve">架上懸掛一組音調高低不同的銅鐘，用小木槌敲打奏樂。 </w:t>
      </w:r>
    </w:p>
    <w:p w:rsidR="0074085E" w:rsidRDefault="0074085E" w:rsidP="0074085E">
      <w:pPr>
        <w:pStyle w:val="Web"/>
        <w:divId w:val="1686205818"/>
        <w:rPr>
          <w:rFonts w:hint="eastAsia"/>
        </w:rPr>
      </w:pPr>
      <w:r>
        <w:rPr>
          <w:rFonts w:hint="eastAsia"/>
        </w:rPr>
        <w:t>一九七八年夏，文物考古工作者在湖北省隨州市城西北約一公里的擂鼓</w:t>
      </w:r>
      <w:proofErr w:type="gramStart"/>
      <w:r>
        <w:rPr>
          <w:rFonts w:hint="eastAsia"/>
        </w:rPr>
        <w:t>墩東團坡</w:t>
      </w:r>
      <w:proofErr w:type="gramEnd"/>
      <w:r>
        <w:rPr>
          <w:rFonts w:hint="eastAsia"/>
        </w:rPr>
        <w:t xml:space="preserve">上，挖掘出規模巨大、保存最好的打擊樂器-曾侯乙編鐘。它的出土震驚了中國，震驚了世界，舉世矚目，被譽為“世界奇觀中獨一無二的珍寶”，“古代世界的第八奇跡”。 </w:t>
      </w:r>
    </w:p>
    <w:p w:rsidR="0074085E" w:rsidRDefault="0074085E" w:rsidP="0074085E">
      <w:pPr>
        <w:pStyle w:val="Web"/>
        <w:divId w:val="1686205818"/>
        <w:rPr>
          <w:rFonts w:hint="eastAsia"/>
        </w:rPr>
      </w:pPr>
      <w:r>
        <w:rPr>
          <w:rFonts w:hint="eastAsia"/>
        </w:rPr>
        <w:t>曾侯乙編鐘在地下</w:t>
      </w:r>
      <w:proofErr w:type="gramStart"/>
      <w:r>
        <w:rPr>
          <w:rFonts w:hint="eastAsia"/>
        </w:rPr>
        <w:t>沉</w:t>
      </w:r>
      <w:proofErr w:type="gramEnd"/>
      <w:r>
        <w:rPr>
          <w:rFonts w:hint="eastAsia"/>
        </w:rPr>
        <w:t>埋了2400餘年的大型國寶編鐘，隨著曾侯乙墓的發現、發掘而再現人間，</w:t>
      </w:r>
      <w:proofErr w:type="gramStart"/>
      <w:r>
        <w:rPr>
          <w:rFonts w:hint="eastAsia"/>
        </w:rPr>
        <w:t>重放異彩</w:t>
      </w:r>
      <w:proofErr w:type="gramEnd"/>
      <w:r>
        <w:rPr>
          <w:rFonts w:hint="eastAsia"/>
        </w:rPr>
        <w:t>。曾侯乙墓位於湖北隨州城西兩公里的擂鼓</w:t>
      </w:r>
      <w:proofErr w:type="gramStart"/>
      <w:r>
        <w:rPr>
          <w:rFonts w:hint="eastAsia"/>
        </w:rPr>
        <w:t>墩東團坡</w:t>
      </w:r>
      <w:proofErr w:type="gramEnd"/>
      <w:r>
        <w:rPr>
          <w:rFonts w:hint="eastAsia"/>
        </w:rPr>
        <w:t xml:space="preserve">上。 </w:t>
      </w:r>
    </w:p>
    <w:p w:rsidR="0074085E" w:rsidRDefault="0074085E" w:rsidP="0074085E">
      <w:pPr>
        <w:numPr>
          <w:ilvl w:val="0"/>
          <w:numId w:val="10"/>
        </w:numPr>
        <w:spacing w:before="100" w:beforeAutospacing="1" w:after="100" w:afterAutospacing="1"/>
        <w:divId w:val="1686205818"/>
        <w:rPr>
          <w:rFonts w:hint="eastAsia"/>
        </w:rPr>
      </w:pPr>
      <w:proofErr w:type="gramStart"/>
      <w:r>
        <w:rPr>
          <w:rFonts w:hint="eastAsia"/>
        </w:rPr>
        <w:t>曾候乙</w:t>
      </w:r>
      <w:proofErr w:type="gramEnd"/>
      <w:r>
        <w:rPr>
          <w:rFonts w:hint="eastAsia"/>
        </w:rPr>
        <w:t xml:space="preserve">編鐘 </w:t>
      </w:r>
    </w:p>
    <w:p w:rsidR="0074085E" w:rsidRDefault="0074085E" w:rsidP="0074085E">
      <w:pPr>
        <w:pStyle w:val="Web"/>
        <w:divId w:val="1686205818"/>
        <w:rPr>
          <w:rFonts w:hint="eastAsia"/>
        </w:rPr>
      </w:pPr>
      <w:r>
        <w:rPr>
          <w:rFonts w:hint="eastAsia"/>
        </w:rPr>
        <w:t>圖片</w:t>
      </w:r>
    </w:p>
    <w:p w:rsidR="0074085E" w:rsidRDefault="0074085E" w:rsidP="0074085E">
      <w:pPr>
        <w:pStyle w:val="Web"/>
        <w:divId w:val="1686205818"/>
        <w:rPr>
          <w:rFonts w:hint="eastAsia"/>
        </w:rPr>
      </w:pPr>
      <w:r>
        <w:rPr>
          <w:rFonts w:hint="eastAsia"/>
        </w:rPr>
        <w:t>編鐘古城，編鐘古樂之鄉，</w:t>
      </w:r>
      <w:proofErr w:type="gramStart"/>
      <w:r>
        <w:rPr>
          <w:rFonts w:hint="eastAsia"/>
        </w:rPr>
        <w:t>楚北天空第一峰</w:t>
      </w:r>
      <w:proofErr w:type="gramEnd"/>
      <w:r>
        <w:rPr>
          <w:rFonts w:hint="eastAsia"/>
        </w:rPr>
        <w:t>大洪山清</w:t>
      </w:r>
      <w:proofErr w:type="gramStart"/>
      <w:r>
        <w:rPr>
          <w:rFonts w:hint="eastAsia"/>
        </w:rPr>
        <w:t>幽</w:t>
      </w:r>
      <w:proofErr w:type="gramEnd"/>
      <w:r>
        <w:rPr>
          <w:rFonts w:hint="eastAsia"/>
        </w:rPr>
        <w:t>俊逸挺拔于其南，千里淮河之源桐柏山巍峨崔嵬</w:t>
      </w:r>
      <w:proofErr w:type="gramStart"/>
      <w:r>
        <w:rPr>
          <w:rFonts w:hint="eastAsia"/>
        </w:rPr>
        <w:t>于</w:t>
      </w:r>
      <w:proofErr w:type="gramEnd"/>
      <w:r>
        <w:rPr>
          <w:rFonts w:hint="eastAsia"/>
        </w:rPr>
        <w:t>其北，</w:t>
      </w:r>
      <w:proofErr w:type="gramStart"/>
      <w:r>
        <w:rPr>
          <w:rFonts w:hint="eastAsia"/>
        </w:rPr>
        <w:t>溳</w:t>
      </w:r>
      <w:proofErr w:type="gramEnd"/>
      <w:r>
        <w:rPr>
          <w:rFonts w:hint="eastAsia"/>
        </w:rPr>
        <w:t>水在這裡發源，</w:t>
      </w:r>
      <w:proofErr w:type="gramStart"/>
      <w:r>
        <w:rPr>
          <w:rFonts w:hint="eastAsia"/>
        </w:rPr>
        <w:t>厥</w:t>
      </w:r>
      <w:proofErr w:type="gramEnd"/>
      <w:r>
        <w:rPr>
          <w:rFonts w:hint="eastAsia"/>
        </w:rPr>
        <w:t>水在這裡流淌，神農在這裡嘗百草，編鐘在</w:t>
      </w:r>
      <w:proofErr w:type="gramStart"/>
      <w:r>
        <w:rPr>
          <w:rFonts w:hint="eastAsia"/>
        </w:rPr>
        <w:t>這裡敲</w:t>
      </w:r>
      <w:proofErr w:type="gramEnd"/>
      <w:r>
        <w:rPr>
          <w:rFonts w:hint="eastAsia"/>
        </w:rPr>
        <w:t>響...它是中國歷史文化名城，其貌不揚的外表並不能遮罩千年曆史的積</w:t>
      </w:r>
      <w:proofErr w:type="gramStart"/>
      <w:r>
        <w:rPr>
          <w:rFonts w:hint="eastAsia"/>
        </w:rPr>
        <w:t>澱</w:t>
      </w:r>
      <w:proofErr w:type="gramEnd"/>
      <w:r>
        <w:rPr>
          <w:rFonts w:hint="eastAsia"/>
        </w:rPr>
        <w:t xml:space="preserve">。隨州，古代隨國的都城，曾侯乙及其家族曾經統治的地方。 </w:t>
      </w:r>
    </w:p>
    <w:p w:rsidR="0074085E" w:rsidRDefault="0074085E" w:rsidP="0074085E">
      <w:pPr>
        <w:pStyle w:val="3"/>
        <w:divId w:val="1686205818"/>
        <w:rPr>
          <w:rFonts w:hint="eastAsia"/>
        </w:rPr>
      </w:pPr>
      <w:r>
        <w:rPr>
          <w:rStyle w:val="mw-headline"/>
          <w:rFonts w:hint="eastAsia"/>
        </w:rPr>
        <w:t>經緯度</w:t>
      </w:r>
    </w:p>
    <w:p w:rsidR="0074085E" w:rsidRDefault="0074085E" w:rsidP="0074085E">
      <w:pPr>
        <w:pStyle w:val="Web"/>
        <w:divId w:val="1686205818"/>
        <w:rPr>
          <w:rFonts w:hint="eastAsia"/>
        </w:rPr>
      </w:pPr>
      <w:r>
        <w:rPr>
          <w:rFonts w:hint="eastAsia"/>
        </w:rPr>
        <w:t xml:space="preserve">35.035912，103.696659 </w:t>
      </w: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rsidP="0074085E">
      <w:pPr>
        <w:pStyle w:val="1"/>
        <w:divId w:val="1686205818"/>
      </w:pPr>
      <w:r>
        <w:rPr>
          <w:rFonts w:hint="eastAsia"/>
        </w:rPr>
        <w:lastRenderedPageBreak/>
        <w:t>印度阿默拉沃蒂佛塔雕像</w:t>
      </w:r>
    </w:p>
    <w:p w:rsidR="0074085E" w:rsidRDefault="0074085E" w:rsidP="0074085E">
      <w:pPr>
        <w:pStyle w:val="3"/>
        <w:divId w:val="1686205818"/>
        <w:rPr>
          <w:rFonts w:hint="eastAsia"/>
        </w:rPr>
      </w:pPr>
      <w:r>
        <w:rPr>
          <w:rStyle w:val="mw-headline"/>
          <w:rFonts w:hint="eastAsia"/>
        </w:rPr>
        <w:t>介紹</w:t>
      </w:r>
    </w:p>
    <w:p w:rsidR="0074085E" w:rsidRDefault="0074085E" w:rsidP="0074085E">
      <w:pPr>
        <w:pStyle w:val="Web"/>
        <w:divId w:val="1686205818"/>
        <w:rPr>
          <w:rFonts w:hint="eastAsia"/>
        </w:rPr>
      </w:pPr>
      <w:r>
        <w:rPr>
          <w:rFonts w:hint="eastAsia"/>
        </w:rPr>
        <w:t>印度佛塔，位於安印度得拉邦貢杜爾縣城約29千米的克利希那河下游南岸。盛行於約公元前2世紀到公元3世紀末薩塔瓦哈納王朝統治時期。這些淡綠色石灰石上的浮雕，主要描繪佛陀的生平故事。這些藝術作品精雕細琢，表情豐富，就像演戲一般，人物姿勢相同但肢體動作誇大，</w:t>
      </w:r>
      <w:proofErr w:type="gramStart"/>
      <w:r>
        <w:rPr>
          <w:rFonts w:hint="eastAsia"/>
        </w:rPr>
        <w:t>採</w:t>
      </w:r>
      <w:proofErr w:type="gramEnd"/>
      <w:r>
        <w:rPr>
          <w:rFonts w:hint="eastAsia"/>
        </w:rPr>
        <w:t>深度雕刻技法。這種風格由阿默拉沃蒂</w:t>
      </w:r>
      <w:proofErr w:type="gramStart"/>
      <w:r>
        <w:rPr>
          <w:rFonts w:hint="eastAsia"/>
        </w:rPr>
        <w:t>廢墟西傳至</w:t>
      </w:r>
      <w:proofErr w:type="gramEnd"/>
      <w:r>
        <w:rPr>
          <w:rFonts w:hint="eastAsia"/>
        </w:rPr>
        <w:t>馬哈拉施特拉邦，再到斯里蘭卡(錫蘭)，遠達南亞大部分地區。阿默拉沃蒂</w:t>
      </w:r>
      <w:proofErr w:type="gramStart"/>
      <w:r>
        <w:rPr>
          <w:rFonts w:hint="eastAsia"/>
        </w:rPr>
        <w:t>窣堵波</w:t>
      </w:r>
      <w:proofErr w:type="gramEnd"/>
      <w:r>
        <w:rPr>
          <w:rFonts w:hint="eastAsia"/>
        </w:rPr>
        <w:t>是印度佛教地區最大的一個，19世紀時因被建築包商拿去當石灰砂漿而遭大規模的破壞。 在印度東南部的安德拉邦</w:t>
      </w:r>
      <w:proofErr w:type="gramStart"/>
      <w:r>
        <w:rPr>
          <w:rFonts w:hint="eastAsia"/>
        </w:rPr>
        <w:t>——</w:t>
      </w:r>
      <w:proofErr w:type="gramEnd"/>
      <w:r>
        <w:rPr>
          <w:rFonts w:hint="eastAsia"/>
        </w:rPr>
        <w:t>阿默拉沃蒂地區，有一座大佛舍利塔，其中存有多達130件以上的石板雕刻，它們大部分是在1世紀~3世紀的時候安放到佛塔之中的。 據保守估算、至少在公元前1世紀、佛陀或者高僧的</w:t>
      </w:r>
      <w:proofErr w:type="gramStart"/>
      <w:r>
        <w:rPr>
          <w:rFonts w:hint="eastAsia"/>
        </w:rPr>
        <w:t>捨</w:t>
      </w:r>
      <w:proofErr w:type="gramEnd"/>
      <w:r>
        <w:rPr>
          <w:rFonts w:hint="eastAsia"/>
        </w:rPr>
        <w:t>利逐漸為人們視為神聖的東西。正是出於這個原因，他們被供奉在佛塔中，頂禮膜拜。阿默拉沃蒂的佛塔建於薩塔瓦哈納王朝（也稱為安德拉王朝）。該王朝始於公元前1世紀，一直延續到3世紀~4世紀中葉。到了5世紀、佛教已不再是在那片土地上的主流教派，而且日漸式微。佛塔最終坍塌崩壞，直至18世紀才再次被發現、展露與世人眼中。 佛塔</w:t>
      </w:r>
      <w:proofErr w:type="gramStart"/>
      <w:r>
        <w:rPr>
          <w:rFonts w:hint="eastAsia"/>
        </w:rPr>
        <w:t>的覆缽部分</w:t>
      </w:r>
      <w:proofErr w:type="gramEnd"/>
      <w:r>
        <w:rPr>
          <w:rFonts w:hint="eastAsia"/>
        </w:rPr>
        <w:t>高18.25米、直徑39.6米。上建半球形</w:t>
      </w:r>
      <w:proofErr w:type="gramStart"/>
      <w:r>
        <w:rPr>
          <w:rFonts w:hint="eastAsia"/>
        </w:rPr>
        <w:t>覆缽，覆缽</w:t>
      </w:r>
      <w:proofErr w:type="gramEnd"/>
      <w:r>
        <w:rPr>
          <w:rFonts w:hint="eastAsia"/>
        </w:rPr>
        <w:t>頂部建有平台、</w:t>
      </w:r>
      <w:proofErr w:type="gramStart"/>
      <w:r>
        <w:rPr>
          <w:rFonts w:hint="eastAsia"/>
        </w:rPr>
        <w:t>傘蓋</w:t>
      </w:r>
      <w:proofErr w:type="gramEnd"/>
      <w:r>
        <w:rPr>
          <w:rFonts w:hint="eastAsia"/>
        </w:rPr>
        <w:t>。台基四面各有一</w:t>
      </w:r>
      <w:proofErr w:type="gramStart"/>
      <w:r>
        <w:rPr>
          <w:rFonts w:hint="eastAsia"/>
        </w:rPr>
        <w:t>方形露台</w:t>
      </w:r>
      <w:proofErr w:type="gramEnd"/>
      <w:r>
        <w:rPr>
          <w:rFonts w:hint="eastAsia"/>
        </w:rPr>
        <w:t>，每座</w:t>
      </w:r>
      <w:proofErr w:type="gramStart"/>
      <w:r>
        <w:rPr>
          <w:rFonts w:hint="eastAsia"/>
        </w:rPr>
        <w:t>台上立</w:t>
      </w:r>
      <w:proofErr w:type="gramEnd"/>
      <w:r>
        <w:rPr>
          <w:rFonts w:hint="eastAsia"/>
        </w:rPr>
        <w:t>有5根石柱 ( 阿耶</w:t>
      </w:r>
      <w:proofErr w:type="gramStart"/>
      <w:r>
        <w:rPr>
          <w:rFonts w:hint="eastAsia"/>
        </w:rPr>
        <w:t>迦</w:t>
      </w:r>
      <w:proofErr w:type="gramEnd"/>
      <w:r>
        <w:rPr>
          <w:rFonts w:hint="eastAsia"/>
        </w:rPr>
        <w:t xml:space="preserve"> )，代替了北印度</w:t>
      </w:r>
      <w:proofErr w:type="gramStart"/>
      <w:r>
        <w:rPr>
          <w:rFonts w:hint="eastAsia"/>
        </w:rPr>
        <w:t>窣堵波</w:t>
      </w:r>
      <w:proofErr w:type="gramEnd"/>
      <w:r>
        <w:rPr>
          <w:rFonts w:hint="eastAsia"/>
        </w:rPr>
        <w:t>常見的塔門（陀蘭那），為典型的南印度</w:t>
      </w:r>
      <w:proofErr w:type="gramStart"/>
      <w:r>
        <w:rPr>
          <w:rFonts w:hint="eastAsia"/>
        </w:rPr>
        <w:t>窣堵波</w:t>
      </w:r>
      <w:proofErr w:type="gramEnd"/>
      <w:r>
        <w:rPr>
          <w:rFonts w:hint="eastAsia"/>
        </w:rPr>
        <w:t>型建築。台基周圍</w:t>
      </w:r>
      <w:proofErr w:type="gramStart"/>
      <w:r>
        <w:rPr>
          <w:rFonts w:hint="eastAsia"/>
        </w:rPr>
        <w:t>鋪設著</w:t>
      </w:r>
      <w:proofErr w:type="gramEnd"/>
      <w:r>
        <w:rPr>
          <w:rFonts w:hint="eastAsia"/>
        </w:rPr>
        <w:t>寬約4米</w:t>
      </w:r>
      <w:proofErr w:type="gramStart"/>
      <w:r>
        <w:rPr>
          <w:rFonts w:hint="eastAsia"/>
        </w:rPr>
        <w:t>的右繞甬道</w:t>
      </w:r>
      <w:proofErr w:type="gramEnd"/>
      <w:r>
        <w:rPr>
          <w:rFonts w:hint="eastAsia"/>
        </w:rPr>
        <w:t>。在台基甬道圍欄上裝飾有浮雕，在大塔的基址還出土有500餘件浮雕，由石灰石材料構築而成，佛塔上鋪了100塊雕刻過的石板，其下層用高大的方形裝飾</w:t>
      </w:r>
      <w:proofErr w:type="gramStart"/>
      <w:r>
        <w:rPr>
          <w:rFonts w:hint="eastAsia"/>
        </w:rPr>
        <w:t>板圍砌了</w:t>
      </w:r>
      <w:proofErr w:type="gramEnd"/>
      <w:r>
        <w:rPr>
          <w:rFonts w:hint="eastAsia"/>
        </w:rPr>
        <w:t>起來。塔頂設有方形的柵欄。塔</w:t>
      </w:r>
      <w:proofErr w:type="gramStart"/>
      <w:r>
        <w:rPr>
          <w:rFonts w:hint="eastAsia"/>
        </w:rPr>
        <w:t>身周圈</w:t>
      </w:r>
      <w:proofErr w:type="gramEnd"/>
      <w:r>
        <w:rPr>
          <w:rFonts w:hint="eastAsia"/>
        </w:rPr>
        <w:t>有圍欄，那是由136根高為2.74裝飾著浮雕的細石柱，和從上至下三段圓弧狀的橫</w:t>
      </w:r>
      <w:proofErr w:type="gramStart"/>
      <w:r>
        <w:rPr>
          <w:rFonts w:hint="eastAsia"/>
        </w:rPr>
        <w:t>隔欄、橫縱</w:t>
      </w:r>
      <w:proofErr w:type="gramEnd"/>
      <w:r>
        <w:rPr>
          <w:rFonts w:hint="eastAsia"/>
        </w:rPr>
        <w:t>交錯架設而成。石柱</w:t>
      </w:r>
      <w:proofErr w:type="gramStart"/>
      <w:r>
        <w:rPr>
          <w:rFonts w:hint="eastAsia"/>
        </w:rPr>
        <w:t>裡側雕鏤刻</w:t>
      </w:r>
      <w:proofErr w:type="gramEnd"/>
      <w:r>
        <w:rPr>
          <w:rFonts w:hint="eastAsia"/>
        </w:rPr>
        <w:t xml:space="preserve">著佛陀生平的故事，寬敞的甬道由石頭鋪就，朝聖者們可以沿著甬道，環繞佛塔邊走邊看。東西南北四方都開了門，門上都有蹲坐著的獅子雕像。門柱上架著非常厚實的蓋石，裡側以為浮雕裝飾。 </w:t>
      </w:r>
    </w:p>
    <w:p w:rsidR="0074085E" w:rsidRDefault="0074085E" w:rsidP="0074085E">
      <w:pPr>
        <w:pStyle w:val="3"/>
        <w:divId w:val="1686205818"/>
        <w:rPr>
          <w:rFonts w:hint="eastAsia"/>
        </w:rPr>
      </w:pPr>
      <w:r>
        <w:rPr>
          <w:rStyle w:val="mw-headline"/>
          <w:rFonts w:hint="eastAsia"/>
        </w:rPr>
        <w:t>經緯度</w:t>
      </w:r>
    </w:p>
    <w:p w:rsidR="0074085E" w:rsidRDefault="0074085E" w:rsidP="0074085E">
      <w:pPr>
        <w:pStyle w:val="Web"/>
        <w:divId w:val="1686205818"/>
        <w:rPr>
          <w:rFonts w:hint="eastAsia"/>
        </w:rPr>
      </w:pPr>
      <w:r>
        <w:rPr>
          <w:rFonts w:hint="eastAsia"/>
        </w:rPr>
        <w:t xml:space="preserve">22.617472，79.263595 </w:t>
      </w:r>
    </w:p>
    <w:p w:rsidR="0074085E" w:rsidRDefault="0074085E" w:rsidP="0074085E">
      <w:pPr>
        <w:divId w:val="1686205818"/>
        <w:rPr>
          <w:rFonts w:hint="eastAsia"/>
        </w:rPr>
      </w:pPr>
      <w:r>
        <w:rPr>
          <w:rFonts w:hint="eastAsia"/>
        </w:rPr>
        <w:pict/>
      </w:r>
      <w:r>
        <w:rPr>
          <w:rFonts w:hint="eastAsia"/>
        </w:rPr>
        <w:pict/>
      </w:r>
      <w:r>
        <w:rPr>
          <w:rFonts w:hint="eastAsia"/>
        </w:rPr>
        <w:pict/>
      </w:r>
      <w:r>
        <w:rPr>
          <w:rFonts w:hint="eastAsia"/>
        </w:rPr>
        <w:pict/>
      </w: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pPr>
        <w:pStyle w:val="Web"/>
        <w:divId w:val="1686205818"/>
        <w:rPr>
          <w:rFonts w:hint="eastAsia"/>
        </w:rPr>
      </w:pPr>
    </w:p>
    <w:p w:rsidR="0074085E" w:rsidRDefault="0074085E" w:rsidP="0074085E">
      <w:pPr>
        <w:pStyle w:val="1"/>
        <w:divId w:val="1686205818"/>
      </w:pPr>
      <w:r>
        <w:rPr>
          <w:rFonts w:hint="eastAsia"/>
        </w:rPr>
        <w:lastRenderedPageBreak/>
        <w:t>悲劇作家索福克勒斯</w:t>
      </w:r>
      <w:proofErr w:type="gramStart"/>
      <w:r>
        <w:rPr>
          <w:rFonts w:hint="eastAsia"/>
        </w:rPr>
        <w:t>﹙</w:t>
      </w:r>
      <w:proofErr w:type="gramEnd"/>
      <w:r>
        <w:rPr>
          <w:rFonts w:hint="eastAsia"/>
        </w:rPr>
        <w:t>前496-405</w:t>
      </w:r>
      <w:proofErr w:type="gramStart"/>
      <w:r>
        <w:rPr>
          <w:rFonts w:hint="eastAsia"/>
        </w:rPr>
        <w:t>﹚</w:t>
      </w:r>
      <w:proofErr w:type="gramEnd"/>
      <w:r>
        <w:rPr>
          <w:rFonts w:hint="eastAsia"/>
        </w:rPr>
        <w:t>半身像</w:t>
      </w:r>
    </w:p>
    <w:p w:rsidR="0074085E" w:rsidRDefault="0074085E" w:rsidP="0074085E">
      <w:pPr>
        <w:pStyle w:val="3"/>
        <w:divId w:val="1686205818"/>
        <w:rPr>
          <w:rFonts w:hint="eastAsia"/>
        </w:rPr>
      </w:pPr>
      <w:r>
        <w:rPr>
          <w:rStyle w:val="mw-headline"/>
          <w:rFonts w:hint="eastAsia"/>
        </w:rPr>
        <w:t>介紹</w:t>
      </w:r>
    </w:p>
    <w:p w:rsidR="0074085E" w:rsidRDefault="0074085E" w:rsidP="0074085E">
      <w:pPr>
        <w:pStyle w:val="Web"/>
        <w:divId w:val="1686205818"/>
        <w:rPr>
          <w:rFonts w:hint="eastAsia"/>
        </w:rPr>
      </w:pPr>
      <w:r>
        <w:rPr>
          <w:rFonts w:hint="eastAsia"/>
        </w:rPr>
        <w:t xml:space="preserve">索福克勒斯他是雅典民主全盛時期的悲劇作家，他在27歲首次參加悲劇競賽，即戰勝了埃斯庫羅斯。阿里斯托芬稱讚他「生前完滿，身後無憾」。索福克勒斯一生共寫過100餘部戲劇，卻只有7部傳世，成就最高的是《安提戈涅》和《俄底浦斯王》 。其中《俄底浦斯王》被認為是古希臘悲劇的典範。索福克勒斯的悲劇往往被稱為「命運悲劇」，即通常表現個人意志行為與命運之間的衝突。 </w:t>
      </w:r>
    </w:p>
    <w:p w:rsidR="0074085E" w:rsidRDefault="0074085E" w:rsidP="0074085E">
      <w:pPr>
        <w:pStyle w:val="Web"/>
        <w:divId w:val="1686205818"/>
        <w:rPr>
          <w:rFonts w:hint="eastAsia"/>
        </w:rPr>
      </w:pPr>
      <w:r>
        <w:rPr>
          <w:rFonts w:hint="eastAsia"/>
          <w:noProof/>
          <w:color w:val="0000FF"/>
        </w:rPr>
        <w:t xml:space="preserve">  圖片</w:t>
      </w:r>
    </w:p>
    <w:p w:rsidR="0074085E" w:rsidRDefault="0074085E" w:rsidP="0074085E">
      <w:pPr>
        <w:pStyle w:val="3"/>
        <w:divId w:val="1686205818"/>
        <w:rPr>
          <w:rFonts w:hint="eastAsia"/>
        </w:rPr>
      </w:pPr>
      <w:r>
        <w:rPr>
          <w:rStyle w:val="mw-headline"/>
          <w:rFonts w:hint="eastAsia"/>
        </w:rPr>
        <w:t>經緯度</w:t>
      </w:r>
    </w:p>
    <w:p w:rsidR="0074085E" w:rsidRDefault="0074085E" w:rsidP="0074085E">
      <w:pPr>
        <w:pStyle w:val="Web"/>
        <w:divId w:val="1686205818"/>
        <w:rPr>
          <w:rFonts w:hint="eastAsia"/>
        </w:rPr>
      </w:pPr>
      <w:r>
        <w:rPr>
          <w:rFonts w:hint="eastAsia"/>
        </w:rPr>
        <w:t xml:space="preserve">37.993921，23.733123 </w:t>
      </w:r>
    </w:p>
    <w:p w:rsidR="0074085E" w:rsidRDefault="0074085E">
      <w:pPr>
        <w:pStyle w:val="Web"/>
        <w:divId w:val="1686205818"/>
        <w:rPr>
          <w:rFonts w:hint="eastAsia"/>
        </w:rPr>
      </w:pPr>
      <w:bookmarkStart w:id="0" w:name="_GoBack"/>
      <w:bookmarkEnd w:id="0"/>
    </w:p>
    <w:sectPr w:rsidR="0074085E">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5E" w:rsidRDefault="0074085E" w:rsidP="0074085E">
      <w:r>
        <w:separator/>
      </w:r>
    </w:p>
  </w:endnote>
  <w:endnote w:type="continuationSeparator" w:id="0">
    <w:p w:rsidR="0074085E" w:rsidRDefault="0074085E" w:rsidP="0074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5E" w:rsidRDefault="0074085E" w:rsidP="0074085E">
      <w:r>
        <w:separator/>
      </w:r>
    </w:p>
  </w:footnote>
  <w:footnote w:type="continuationSeparator" w:id="0">
    <w:p w:rsidR="0074085E" w:rsidRDefault="0074085E" w:rsidP="0074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891"/>
    <w:multiLevelType w:val="multilevel"/>
    <w:tmpl w:val="BA58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35626"/>
    <w:multiLevelType w:val="multilevel"/>
    <w:tmpl w:val="650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F3F76"/>
    <w:multiLevelType w:val="multilevel"/>
    <w:tmpl w:val="AAB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7AA5"/>
    <w:multiLevelType w:val="multilevel"/>
    <w:tmpl w:val="B0D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B380C"/>
    <w:multiLevelType w:val="multilevel"/>
    <w:tmpl w:val="B9C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02183"/>
    <w:multiLevelType w:val="multilevel"/>
    <w:tmpl w:val="9BAA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73C87"/>
    <w:multiLevelType w:val="multilevel"/>
    <w:tmpl w:val="6EE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13AA0"/>
    <w:multiLevelType w:val="multilevel"/>
    <w:tmpl w:val="A7E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E4C8F"/>
    <w:multiLevelType w:val="multilevel"/>
    <w:tmpl w:val="BC5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F75AF"/>
    <w:multiLevelType w:val="multilevel"/>
    <w:tmpl w:val="34B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7"/>
  </w:num>
  <w:num w:numId="5">
    <w:abstractNumId w:val="6"/>
  </w:num>
  <w:num w:numId="6">
    <w:abstractNumId w:val="4"/>
  </w:num>
  <w:num w:numId="7">
    <w:abstractNumId w:val="5"/>
  </w:num>
  <w:num w:numId="8">
    <w:abstractNumId w:val="0"/>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8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4085E"/>
    <w:rsid w:val="00740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paragraph" w:styleId="Web">
    <w:name w:val="Normal (Web)"/>
    <w:basedOn w:val="a"/>
    <w:uiPriority w:val="99"/>
    <w:semiHidden/>
    <w:unhideWhenUsed/>
    <w:pPr>
      <w:spacing w:before="100" w:beforeAutospacing="1" w:after="100" w:afterAutospacing="1"/>
    </w:p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7408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085E"/>
    <w:rPr>
      <w:rFonts w:asciiTheme="majorHAnsi" w:eastAsiaTheme="majorEastAsia" w:hAnsiTheme="majorHAnsi" w:cstheme="majorBidi"/>
      <w:sz w:val="18"/>
      <w:szCs w:val="18"/>
    </w:rPr>
  </w:style>
  <w:style w:type="paragraph" w:styleId="a7">
    <w:name w:val="header"/>
    <w:basedOn w:val="a"/>
    <w:link w:val="a8"/>
    <w:uiPriority w:val="99"/>
    <w:unhideWhenUsed/>
    <w:rsid w:val="0074085E"/>
    <w:pPr>
      <w:tabs>
        <w:tab w:val="center" w:pos="4153"/>
        <w:tab w:val="right" w:pos="8306"/>
      </w:tabs>
      <w:snapToGrid w:val="0"/>
    </w:pPr>
    <w:rPr>
      <w:sz w:val="20"/>
      <w:szCs w:val="20"/>
    </w:rPr>
  </w:style>
  <w:style w:type="character" w:customStyle="1" w:styleId="a8">
    <w:name w:val="頁首 字元"/>
    <w:basedOn w:val="a0"/>
    <w:link w:val="a7"/>
    <w:uiPriority w:val="99"/>
    <w:rsid w:val="0074085E"/>
    <w:rPr>
      <w:rFonts w:ascii="新細明體" w:eastAsia="新細明體" w:hAnsi="新細明體" w:cs="新細明體"/>
    </w:rPr>
  </w:style>
  <w:style w:type="paragraph" w:styleId="a9">
    <w:name w:val="footer"/>
    <w:basedOn w:val="a"/>
    <w:link w:val="aa"/>
    <w:uiPriority w:val="99"/>
    <w:unhideWhenUsed/>
    <w:rsid w:val="0074085E"/>
    <w:pPr>
      <w:tabs>
        <w:tab w:val="center" w:pos="4153"/>
        <w:tab w:val="right" w:pos="8306"/>
      </w:tabs>
      <w:snapToGrid w:val="0"/>
    </w:pPr>
    <w:rPr>
      <w:sz w:val="20"/>
      <w:szCs w:val="20"/>
    </w:rPr>
  </w:style>
  <w:style w:type="character" w:customStyle="1" w:styleId="aa">
    <w:name w:val="頁尾 字元"/>
    <w:basedOn w:val="a0"/>
    <w:link w:val="a9"/>
    <w:uiPriority w:val="99"/>
    <w:rsid w:val="0074085E"/>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paragraph" w:styleId="Web">
    <w:name w:val="Normal (Web)"/>
    <w:basedOn w:val="a"/>
    <w:uiPriority w:val="99"/>
    <w:semiHidden/>
    <w:unhideWhenUsed/>
    <w:pPr>
      <w:spacing w:before="100" w:beforeAutospacing="1" w:after="100" w:afterAutospacing="1"/>
    </w:p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7408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085E"/>
    <w:rPr>
      <w:rFonts w:asciiTheme="majorHAnsi" w:eastAsiaTheme="majorEastAsia" w:hAnsiTheme="majorHAnsi" w:cstheme="majorBidi"/>
      <w:sz w:val="18"/>
      <w:szCs w:val="18"/>
    </w:rPr>
  </w:style>
  <w:style w:type="paragraph" w:styleId="a7">
    <w:name w:val="header"/>
    <w:basedOn w:val="a"/>
    <w:link w:val="a8"/>
    <w:uiPriority w:val="99"/>
    <w:unhideWhenUsed/>
    <w:rsid w:val="0074085E"/>
    <w:pPr>
      <w:tabs>
        <w:tab w:val="center" w:pos="4153"/>
        <w:tab w:val="right" w:pos="8306"/>
      </w:tabs>
      <w:snapToGrid w:val="0"/>
    </w:pPr>
    <w:rPr>
      <w:sz w:val="20"/>
      <w:szCs w:val="20"/>
    </w:rPr>
  </w:style>
  <w:style w:type="character" w:customStyle="1" w:styleId="a8">
    <w:name w:val="頁首 字元"/>
    <w:basedOn w:val="a0"/>
    <w:link w:val="a7"/>
    <w:uiPriority w:val="99"/>
    <w:rsid w:val="0074085E"/>
    <w:rPr>
      <w:rFonts w:ascii="新細明體" w:eastAsia="新細明體" w:hAnsi="新細明體" w:cs="新細明體"/>
    </w:rPr>
  </w:style>
  <w:style w:type="paragraph" w:styleId="a9">
    <w:name w:val="footer"/>
    <w:basedOn w:val="a"/>
    <w:link w:val="aa"/>
    <w:uiPriority w:val="99"/>
    <w:unhideWhenUsed/>
    <w:rsid w:val="0074085E"/>
    <w:pPr>
      <w:tabs>
        <w:tab w:val="center" w:pos="4153"/>
        <w:tab w:val="right" w:pos="8306"/>
      </w:tabs>
      <w:snapToGrid w:val="0"/>
    </w:pPr>
    <w:rPr>
      <w:sz w:val="20"/>
      <w:szCs w:val="20"/>
    </w:rPr>
  </w:style>
  <w:style w:type="character" w:customStyle="1" w:styleId="aa">
    <w:name w:val="頁尾 字元"/>
    <w:basedOn w:val="a0"/>
    <w:link w:val="a9"/>
    <w:uiPriority w:val="99"/>
    <w:rsid w:val="0074085E"/>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86758">
      <w:marLeft w:val="0"/>
      <w:marRight w:val="0"/>
      <w:marTop w:val="0"/>
      <w:marBottom w:val="0"/>
      <w:divBdr>
        <w:top w:val="none" w:sz="0" w:space="0" w:color="auto"/>
        <w:left w:val="none" w:sz="0" w:space="0" w:color="auto"/>
        <w:bottom w:val="none" w:sz="0" w:space="0" w:color="auto"/>
        <w:right w:val="none" w:sz="0" w:space="0" w:color="auto"/>
      </w:divBdr>
    </w:div>
    <w:div w:id="1271552707">
      <w:marLeft w:val="0"/>
      <w:marRight w:val="0"/>
      <w:marTop w:val="0"/>
      <w:marBottom w:val="0"/>
      <w:divBdr>
        <w:top w:val="none" w:sz="0" w:space="0" w:color="auto"/>
        <w:left w:val="none" w:sz="0" w:space="0" w:color="auto"/>
        <w:bottom w:val="none" w:sz="0" w:space="0" w:color="auto"/>
        <w:right w:val="none" w:sz="0" w:space="0" w:color="auto"/>
      </w:divBdr>
      <w:divsChild>
        <w:div w:id="1103501289">
          <w:marLeft w:val="0"/>
          <w:marRight w:val="0"/>
          <w:marTop w:val="0"/>
          <w:marBottom w:val="0"/>
          <w:divBdr>
            <w:top w:val="none" w:sz="0" w:space="0" w:color="auto"/>
            <w:left w:val="none" w:sz="0" w:space="0" w:color="auto"/>
            <w:bottom w:val="none" w:sz="0" w:space="0" w:color="auto"/>
            <w:right w:val="none" w:sz="0" w:space="0" w:color="auto"/>
          </w:divBdr>
          <w:divsChild>
            <w:div w:id="1982884772">
              <w:marLeft w:val="0"/>
              <w:marRight w:val="0"/>
              <w:marTop w:val="0"/>
              <w:marBottom w:val="0"/>
              <w:divBdr>
                <w:top w:val="none" w:sz="0" w:space="0" w:color="auto"/>
                <w:left w:val="none" w:sz="0" w:space="0" w:color="auto"/>
                <w:bottom w:val="none" w:sz="0" w:space="0" w:color="auto"/>
                <w:right w:val="none" w:sz="0" w:space="0" w:color="auto"/>
              </w:divBdr>
            </w:div>
            <w:div w:id="159392656">
              <w:marLeft w:val="0"/>
              <w:marRight w:val="0"/>
              <w:marTop w:val="0"/>
              <w:marBottom w:val="0"/>
              <w:divBdr>
                <w:top w:val="none" w:sz="0" w:space="0" w:color="auto"/>
                <w:left w:val="none" w:sz="0" w:space="0" w:color="auto"/>
                <w:bottom w:val="none" w:sz="0" w:space="0" w:color="auto"/>
                <w:right w:val="none" w:sz="0" w:space="0" w:color="auto"/>
              </w:divBdr>
            </w:div>
            <w:div w:id="1686205818">
              <w:marLeft w:val="0"/>
              <w:marRight w:val="0"/>
              <w:marTop w:val="0"/>
              <w:marBottom w:val="0"/>
              <w:divBdr>
                <w:top w:val="none" w:sz="0" w:space="0" w:color="auto"/>
                <w:left w:val="none" w:sz="0" w:space="0" w:color="auto"/>
                <w:bottom w:val="none" w:sz="0" w:space="0" w:color="auto"/>
                <w:right w:val="none" w:sz="0" w:space="0" w:color="auto"/>
              </w:divBdr>
              <w:divsChild>
                <w:div w:id="1574923993">
                  <w:marLeft w:val="0"/>
                  <w:marRight w:val="0"/>
                  <w:marTop w:val="0"/>
                  <w:marBottom w:val="0"/>
                  <w:divBdr>
                    <w:top w:val="none" w:sz="0" w:space="0" w:color="auto"/>
                    <w:left w:val="none" w:sz="0" w:space="0" w:color="auto"/>
                    <w:bottom w:val="none" w:sz="0" w:space="0" w:color="auto"/>
                    <w:right w:val="none" w:sz="0" w:space="0" w:color="auto"/>
                  </w:divBdr>
                </w:div>
              </w:divsChild>
            </w:div>
            <w:div w:id="2097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6553">
      <w:marLeft w:val="0"/>
      <w:marRight w:val="0"/>
      <w:marTop w:val="0"/>
      <w:marBottom w:val="0"/>
      <w:divBdr>
        <w:top w:val="none" w:sz="0" w:space="0" w:color="auto"/>
        <w:left w:val="none" w:sz="0" w:space="0" w:color="auto"/>
        <w:bottom w:val="none" w:sz="0" w:space="0" w:color="auto"/>
        <w:right w:val="none" w:sz="0" w:space="0" w:color="auto"/>
      </w:divBdr>
      <w:divsChild>
        <w:div w:id="538201536">
          <w:marLeft w:val="0"/>
          <w:marRight w:val="0"/>
          <w:marTop w:val="0"/>
          <w:marBottom w:val="0"/>
          <w:divBdr>
            <w:top w:val="none" w:sz="0" w:space="0" w:color="auto"/>
            <w:left w:val="none" w:sz="0" w:space="0" w:color="auto"/>
            <w:bottom w:val="none" w:sz="0" w:space="0" w:color="auto"/>
            <w:right w:val="none" w:sz="0" w:space="0" w:color="auto"/>
          </w:divBdr>
          <w:divsChild>
            <w:div w:id="203180802">
              <w:marLeft w:val="0"/>
              <w:marRight w:val="0"/>
              <w:marTop w:val="0"/>
              <w:marBottom w:val="0"/>
              <w:divBdr>
                <w:top w:val="none" w:sz="0" w:space="0" w:color="auto"/>
                <w:left w:val="none" w:sz="0" w:space="0" w:color="auto"/>
                <w:bottom w:val="none" w:sz="0" w:space="0" w:color="auto"/>
                <w:right w:val="none" w:sz="0" w:space="0" w:color="auto"/>
              </w:divBdr>
            </w:div>
            <w:div w:id="265578589">
              <w:marLeft w:val="0"/>
              <w:marRight w:val="0"/>
              <w:marTop w:val="0"/>
              <w:marBottom w:val="0"/>
              <w:divBdr>
                <w:top w:val="none" w:sz="0" w:space="0" w:color="auto"/>
                <w:left w:val="none" w:sz="0" w:space="0" w:color="auto"/>
                <w:bottom w:val="none" w:sz="0" w:space="0" w:color="auto"/>
                <w:right w:val="none" w:sz="0" w:space="0" w:color="auto"/>
              </w:divBdr>
              <w:divsChild>
                <w:div w:id="492528055">
                  <w:marLeft w:val="0"/>
                  <w:marRight w:val="0"/>
                  <w:marTop w:val="0"/>
                  <w:marBottom w:val="0"/>
                  <w:divBdr>
                    <w:top w:val="none" w:sz="0" w:space="0" w:color="auto"/>
                    <w:left w:val="none" w:sz="0" w:space="0" w:color="auto"/>
                    <w:bottom w:val="none" w:sz="0" w:space="0" w:color="auto"/>
                    <w:right w:val="none" w:sz="0" w:space="0" w:color="auto"/>
                  </w:divBdr>
                </w:div>
                <w:div w:id="1009135076">
                  <w:marLeft w:val="0"/>
                  <w:marRight w:val="0"/>
                  <w:marTop w:val="0"/>
                  <w:marBottom w:val="0"/>
                  <w:divBdr>
                    <w:top w:val="none" w:sz="0" w:space="0" w:color="auto"/>
                    <w:left w:val="none" w:sz="0" w:space="0" w:color="auto"/>
                    <w:bottom w:val="none" w:sz="0" w:space="0" w:color="auto"/>
                    <w:right w:val="none" w:sz="0" w:space="0" w:color="auto"/>
                  </w:divBdr>
                </w:div>
              </w:divsChild>
            </w:div>
            <w:div w:id="1820077347">
              <w:marLeft w:val="0"/>
              <w:marRight w:val="0"/>
              <w:marTop w:val="0"/>
              <w:marBottom w:val="0"/>
              <w:divBdr>
                <w:top w:val="none" w:sz="0" w:space="0" w:color="auto"/>
                <w:left w:val="none" w:sz="0" w:space="0" w:color="auto"/>
                <w:bottom w:val="none" w:sz="0" w:space="0" w:color="auto"/>
                <w:right w:val="none" w:sz="0" w:space="0" w:color="auto"/>
              </w:divBdr>
              <w:divsChild>
                <w:div w:id="58986997">
                  <w:marLeft w:val="0"/>
                  <w:marRight w:val="0"/>
                  <w:marTop w:val="0"/>
                  <w:marBottom w:val="0"/>
                  <w:divBdr>
                    <w:top w:val="none" w:sz="0" w:space="0" w:color="auto"/>
                    <w:left w:val="none" w:sz="0" w:space="0" w:color="auto"/>
                    <w:bottom w:val="none" w:sz="0" w:space="0" w:color="auto"/>
                    <w:right w:val="none" w:sz="0" w:space="0" w:color="auto"/>
                  </w:divBdr>
                </w:div>
                <w:div w:id="2001733463">
                  <w:marLeft w:val="0"/>
                  <w:marRight w:val="0"/>
                  <w:marTop w:val="0"/>
                  <w:marBottom w:val="0"/>
                  <w:divBdr>
                    <w:top w:val="none" w:sz="0" w:space="0" w:color="auto"/>
                    <w:left w:val="none" w:sz="0" w:space="0" w:color="auto"/>
                    <w:bottom w:val="none" w:sz="0" w:space="0" w:color="auto"/>
                    <w:right w:val="none" w:sz="0" w:space="0" w:color="auto"/>
                  </w:divBdr>
                </w:div>
                <w:div w:id="1660495193">
                  <w:marLeft w:val="0"/>
                  <w:marRight w:val="0"/>
                  <w:marTop w:val="0"/>
                  <w:marBottom w:val="0"/>
                  <w:divBdr>
                    <w:top w:val="none" w:sz="0" w:space="0" w:color="auto"/>
                    <w:left w:val="none" w:sz="0" w:space="0" w:color="auto"/>
                    <w:bottom w:val="none" w:sz="0" w:space="0" w:color="auto"/>
                    <w:right w:val="none" w:sz="0" w:space="0" w:color="auto"/>
                  </w:divBdr>
                  <w:divsChild>
                    <w:div w:id="345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0876">
          <w:marLeft w:val="0"/>
          <w:marRight w:val="0"/>
          <w:marTop w:val="0"/>
          <w:marBottom w:val="0"/>
          <w:divBdr>
            <w:top w:val="none" w:sz="0" w:space="0" w:color="auto"/>
            <w:left w:val="none" w:sz="0" w:space="0" w:color="auto"/>
            <w:bottom w:val="none" w:sz="0" w:space="0" w:color="auto"/>
            <w:right w:val="none" w:sz="0" w:space="0" w:color="auto"/>
          </w:divBdr>
          <w:divsChild>
            <w:div w:id="632949041">
              <w:marLeft w:val="0"/>
              <w:marRight w:val="0"/>
              <w:marTop w:val="0"/>
              <w:marBottom w:val="0"/>
              <w:divBdr>
                <w:top w:val="none" w:sz="0" w:space="0" w:color="auto"/>
                <w:left w:val="none" w:sz="0" w:space="0" w:color="auto"/>
                <w:bottom w:val="none" w:sz="0" w:space="0" w:color="auto"/>
                <w:right w:val="none" w:sz="0" w:space="0" w:color="auto"/>
              </w:divBdr>
              <w:divsChild>
                <w:div w:id="25568306">
                  <w:marLeft w:val="0"/>
                  <w:marRight w:val="0"/>
                  <w:marTop w:val="0"/>
                  <w:marBottom w:val="0"/>
                  <w:divBdr>
                    <w:top w:val="none" w:sz="0" w:space="0" w:color="auto"/>
                    <w:left w:val="none" w:sz="0" w:space="0" w:color="auto"/>
                    <w:bottom w:val="none" w:sz="0" w:space="0" w:color="auto"/>
                    <w:right w:val="none" w:sz="0" w:space="0" w:color="auto"/>
                  </w:divBdr>
                </w:div>
              </w:divsChild>
            </w:div>
            <w:div w:id="54206783">
              <w:marLeft w:val="0"/>
              <w:marRight w:val="0"/>
              <w:marTop w:val="0"/>
              <w:marBottom w:val="0"/>
              <w:divBdr>
                <w:top w:val="none" w:sz="0" w:space="0" w:color="auto"/>
                <w:left w:val="none" w:sz="0" w:space="0" w:color="auto"/>
                <w:bottom w:val="none" w:sz="0" w:space="0" w:color="auto"/>
                <w:right w:val="none" w:sz="0" w:space="0" w:color="auto"/>
              </w:divBdr>
              <w:divsChild>
                <w:div w:id="17784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2901</Words>
  <Characters>282</Characters>
  <Application>Microsoft Office Word</Application>
  <DocSecurity>0</DocSecurity>
  <Lines>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奧古斯都﹙前63-後14﹚大理石頭像 - 六年制學程</dc:title>
  <dc:creator>yamings</dc:creator>
  <cp:lastModifiedBy>yamings</cp:lastModifiedBy>
  <cp:revision>2</cp:revision>
  <dcterms:created xsi:type="dcterms:W3CDTF">2015-03-16T01:48:00Z</dcterms:created>
  <dcterms:modified xsi:type="dcterms:W3CDTF">2015-03-16T01:48:00Z</dcterms:modified>
</cp:coreProperties>
</file>